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3C" w:rsidRPr="00132C3C" w:rsidRDefault="00132C3C" w:rsidP="00132C3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NTTimes/Cyrillic" w:eastAsia="Times New Roman" w:hAnsi="NTTimes/Cyrillic" w:cs="Times New Roman"/>
          <w:b/>
          <w:sz w:val="28"/>
          <w:szCs w:val="20"/>
          <w:lang w:eastAsia="ru-RU"/>
        </w:rPr>
      </w:pPr>
      <w:r w:rsidRPr="00132C3C">
        <w:rPr>
          <w:rFonts w:ascii="NTTimes/Cyrillic" w:eastAsia="Times New Roman" w:hAnsi="NTTimes/Cyrillic" w:cs="Times New Roman"/>
          <w:b/>
          <w:sz w:val="28"/>
          <w:szCs w:val="20"/>
          <w:lang w:val="en-US" w:eastAsia="ru-RU"/>
        </w:rPr>
        <w:t>II</w:t>
      </w:r>
      <w:r w:rsidRPr="00132C3C">
        <w:rPr>
          <w:rFonts w:ascii="NTTimes/Cyrillic" w:eastAsia="Times New Roman" w:hAnsi="NTTimes/Cyrillic" w:cs="Times New Roman"/>
          <w:b/>
          <w:sz w:val="28"/>
          <w:szCs w:val="20"/>
          <w:lang w:eastAsia="ru-RU"/>
        </w:rPr>
        <w:t>. Задачи Отдела</w:t>
      </w:r>
    </w:p>
    <w:p w:rsidR="00132C3C" w:rsidRPr="00132C3C" w:rsidRDefault="00132C3C" w:rsidP="00132C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32C3C" w:rsidRPr="00132C3C" w:rsidRDefault="00132C3C" w:rsidP="00132C3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6. Основными задачами Отдела являются: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о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беспечение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выполнения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федерального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статистических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работ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производственного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Федеральной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службы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государственной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статистики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ф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ормирование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официальной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статистической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информации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основным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показателям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производственной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деятельности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предприятий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включая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субъекты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структуре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демографии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потреблению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топливно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энергетических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ресурсов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также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показателям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характеризующим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специфику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деятельности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добывающих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обрабатывающих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производств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осуществляющих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обеспечение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электрической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энергией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газом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паром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кондиционирование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воздуха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водоснабжение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водоотведение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организацию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сбора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утилизации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отходов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деятельность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ликвидации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загрязнений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лесозаготовок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рыболовства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для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последующего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своевременного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предоставления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органам</w:t>
      </w:r>
      <w:proofErr w:type="gramEnd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государственной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власти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местного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самоуправления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судам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прокуратуры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Банку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государственным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внебюджетным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фондам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профсоюзным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объединениям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объединениям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работодателей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письменному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запросу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или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соответствии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соглашением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сторон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информационном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взаимодействии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также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средствам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массовой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информации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организациям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гражданам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соответствии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едеральным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планом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статистических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работ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для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последующего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предоставления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установленном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порядке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Росстат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исполнительной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законодательной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власти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Воронежской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области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местного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самоуправления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средствам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массовой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информации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организациям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гражданам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другим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пользователям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соответствии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федеральным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планом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статистических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работ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Росстата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6.3. о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рганизация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проведения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сплошного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федерального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статистического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наблюдения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деятельностью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 ведение и использование территориального раздела </w:t>
      </w:r>
      <w:proofErr w:type="spell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Статрегистра</w:t>
      </w:r>
      <w:proofErr w:type="spellEnd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Росстата средствами единого централизованного информационного ресурса  Автоматизированной системы ведения генеральной совокупности объектов федерального статистического наблюдения (АС ГС ОФСН)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 xml:space="preserve"> для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организации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федерального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статистического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наблюдения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взаимодействия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государственными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информационными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системами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содержащими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сведения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хозяйствующих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субъектах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соответствии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действующими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нормативными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правовыми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актами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методическими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указаниями</w:t>
      </w:r>
      <w:r w:rsidRPr="0013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Росстата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6.5. о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рганизация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работы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выполнению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Отделе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требований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федеральных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законов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актов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Президента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Правительства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актов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Минэкономразвития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Росстата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Воронежстата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иных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нормативных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правовых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актов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вопросам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связанным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повседневной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деятельностью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Отдела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2C3C" w:rsidRPr="00132C3C" w:rsidRDefault="00132C3C" w:rsidP="00132C3C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C3C" w:rsidRPr="00132C3C" w:rsidRDefault="00132C3C" w:rsidP="00132C3C">
      <w:pPr>
        <w:spacing w:after="0" w:line="240" w:lineRule="auto"/>
        <w:ind w:right="-57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Функции Отдела</w:t>
      </w:r>
    </w:p>
    <w:p w:rsidR="00132C3C" w:rsidRPr="00132C3C" w:rsidRDefault="00132C3C" w:rsidP="00132C3C">
      <w:pPr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 Отдел осуществляет следующие функции: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7.1. В части о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беспечени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выполнения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федерального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плана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статистических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работ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производственного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плана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Федеральной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службы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государственной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статистики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32C3C" w:rsidRPr="00132C3C" w:rsidRDefault="00132C3C" w:rsidP="00132C3C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7.1.1. формирование совокупностей объектов федерального статистического наблюдения по формам федерального статистического наблюдения (каталогов) на основе АС ГС ОФСН в соответствии с Порядком, утвержденным Росстатом;</w:t>
      </w:r>
    </w:p>
    <w:p w:rsidR="00132C3C" w:rsidRPr="00132C3C" w:rsidRDefault="00132C3C" w:rsidP="00132C3C">
      <w:pPr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7.1.2. </w:t>
      </w:r>
      <w:r w:rsidRPr="00132C3C">
        <w:rPr>
          <w:rFonts w:ascii="Times New Roman" w:eastAsia="Calibri" w:hAnsi="Times New Roman" w:cs="Times New Roman"/>
          <w:sz w:val="28"/>
          <w:szCs w:val="28"/>
        </w:rPr>
        <w:t xml:space="preserve">обеспечение формирования и актуализации состава основных показателей производственной деятельности предприятий (включая субъекты среднего и малого предпринимательства), их структуры, демографии, потребления топливно-энергетических ресурсов, а также  показателей, характеризующих специфику деятельности добывающих, обрабатывающих производств, </w:t>
      </w:r>
      <w:r w:rsidRPr="00132C3C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>осуществляющих обеспечение электрической энергией, газом и паром, 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 рыболовства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подлежащих загрузке в Банк данных</w:t>
      </w:r>
      <w:proofErr w:type="gramEnd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«1С Статистика Воронежской области»;</w:t>
      </w:r>
    </w:p>
    <w:p w:rsidR="00132C3C" w:rsidRPr="00132C3C" w:rsidRDefault="00132C3C" w:rsidP="00132C3C">
      <w:pPr>
        <w:spacing w:after="0" w:line="240" w:lineRule="auto"/>
        <w:ind w:right="-1"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7.1.3. организация и проведение федеральных статистических наблюдений по статистике предприятий в соответствии с официальной статистической методологией, включая структурные обследования, текущие статистические наблюдения за деятельностью организаций на основе унифицированных форм, сплошные наблюдения за деятельностью субъектов малого и среднего предпринимательства;</w:t>
      </w:r>
    </w:p>
    <w:p w:rsidR="00132C3C" w:rsidRPr="00132C3C" w:rsidRDefault="00132C3C" w:rsidP="00132C3C">
      <w:pPr>
        <w:spacing w:after="0" w:line="240" w:lineRule="auto"/>
        <w:ind w:right="-1"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7.1.4.</w:t>
      </w:r>
      <w:r w:rsidRPr="00132C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разработки экономико-статистической информации, ее анализ, подготовка статистических данных, необходимых для составления национальных счетов, других балансовых расчетов;</w:t>
      </w:r>
    </w:p>
    <w:p w:rsidR="00132C3C" w:rsidRPr="00132C3C" w:rsidRDefault="00132C3C" w:rsidP="00132C3C">
      <w:pPr>
        <w:spacing w:after="0" w:line="240" w:lineRule="auto"/>
        <w:ind w:right="-1"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7.1.5.</w:t>
      </w:r>
      <w:r w:rsidRPr="00132C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расчетного топливно-энергетического баланса по Воронежской области;</w:t>
      </w:r>
    </w:p>
    <w:p w:rsidR="00132C3C" w:rsidRPr="00132C3C" w:rsidRDefault="00132C3C" w:rsidP="00132C3C">
      <w:pPr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7.1.6.</w:t>
      </w:r>
      <w:r w:rsidRPr="00132C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spell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досчетов</w:t>
      </w:r>
      <w:proofErr w:type="spellEnd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экономических показателей до полного круга по статистике промышленных видов деятельности; </w:t>
      </w:r>
    </w:p>
    <w:p w:rsidR="00132C3C" w:rsidRPr="00132C3C" w:rsidRDefault="00132C3C" w:rsidP="00132C3C">
      <w:pPr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7.1.7.</w:t>
      </w:r>
      <w:r w:rsidRPr="00132C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предложений по совершенствованию форм федерального статистического наблюдения и указаний по их заполнению для сбора первичных статистических данных органами государственной статистики показателей производственной деятельности предприятий (включая субъекты среднего и малого предпринимательства), их структуры, демографии, потребления топливно-энергетических ресурсов, а также показателей, характеризующих специфику добывающих, обрабатывающих производств, </w:t>
      </w:r>
      <w:r w:rsidRPr="00132C3C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>осуществляющих обеспечение электрической энергией, газом и паром, кондиционирование воздуха, водоснабжение, водоотведение, организация сбора и</w:t>
      </w:r>
      <w:proofErr w:type="gramEnd"/>
      <w:r w:rsidRPr="00132C3C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 xml:space="preserve"> утилизации отходов, деятельность по ликвидации загрязнений, лесозаготовок и рыболовства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предоставленных субъектами официального статистического учета для утверждения Росстатом;</w:t>
      </w:r>
    </w:p>
    <w:p w:rsidR="00132C3C" w:rsidRPr="00132C3C" w:rsidRDefault="00132C3C" w:rsidP="00132C3C">
      <w:pPr>
        <w:spacing w:after="0" w:line="240" w:lineRule="auto"/>
        <w:ind w:right="-1"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7.1.8.</w:t>
      </w:r>
      <w:r w:rsidRPr="00132C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применение при формировании информационного ресурса общероссийских классификаторов технико-экономической и социальной информации в социально-экономической области;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7.1.9.</w:t>
      </w:r>
      <w:r w:rsidRPr="00132C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использования Статистического регистра Росстата хозяйствующих субъектов при разработке официальной статистической информации по статистике предприятий (в части деятельности хозяйствующих субъектов);</w:t>
      </w:r>
    </w:p>
    <w:p w:rsidR="00132C3C" w:rsidRPr="00132C3C" w:rsidRDefault="00132C3C" w:rsidP="00132C3C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7.1.10.</w:t>
      </w:r>
      <w:r w:rsidRPr="00132C3C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 </w:t>
      </w:r>
      <w:r w:rsidRPr="00132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ведение баз данных по важнейшим показателям 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производственной деятельности предприятий, характеризующих деятельность добывающих, обрабатывающих производств, </w:t>
      </w:r>
      <w:r w:rsidRPr="00132C3C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>осуществляющих обеспечение электрической энергией, газом и паром, кондиционирование воздуха, водоснабжение, водоотведение, организацию сбора и утилизации отходов, деятельность по ликвидации загрязнений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, лесозаготовок и рыболовства;</w:t>
      </w:r>
    </w:p>
    <w:p w:rsidR="00132C3C" w:rsidRPr="00132C3C" w:rsidRDefault="00132C3C" w:rsidP="00132C3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7.1.11. проведение совещаний и семинаров с представителями предприятий, организаций и районов по вопросам, входящим в компетенцию Отдела;</w:t>
      </w:r>
    </w:p>
    <w:p w:rsidR="00132C3C" w:rsidRPr="00132C3C" w:rsidRDefault="00132C3C" w:rsidP="00132C3C">
      <w:pPr>
        <w:tabs>
          <w:tab w:val="left" w:pos="6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7.1.12. участие в формировании перечня предприятий, подлежащих федеральному статистическому наблюдению в особый период.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7.2. </w:t>
      </w:r>
      <w:proofErr w:type="gramStart"/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части ф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ормировани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официальной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статистической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информации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основным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показателям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производственной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деятельности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предприятий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включая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субъекты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среднего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малого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предпринимательства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их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структуре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демографии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потреблению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топливно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энергетических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ресурсов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также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показателям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характеризующим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специфику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деятельности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добывающих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обрабатывающих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производств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осуществляющих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обеспечение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электрической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энергией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газом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паром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кондиционирование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воздуха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водоснабжение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водоотведение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организацию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сбора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утилизации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отходов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деятельность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ликвидации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загрязнений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лесозаготовок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рыболовства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для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последующего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своевременного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предоставления</w:t>
      </w:r>
      <w:proofErr w:type="gramEnd"/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государственной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власти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местного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самоуправления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судам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прокуратуры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Банку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России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государственным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внебюджетным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фондам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профсоюзным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объединениям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объединениям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работодателей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их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письменному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запросу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или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соответствии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соглашением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сторон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информационном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взаимодействии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также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средствам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массовой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информации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организациям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гражданам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соответствии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едеральным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планом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статистических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работ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для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последующего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предоставления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установленном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порядке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Росстат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исполнительной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законодательной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власти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Воронежской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области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местного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самоуправления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средствам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массовой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информации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организациям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гражданам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другим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пользователям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соответствии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федеральным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планом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статистических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работ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Росстата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32C3C" w:rsidRPr="00132C3C" w:rsidRDefault="00132C3C" w:rsidP="00132C3C">
      <w:pPr>
        <w:tabs>
          <w:tab w:val="left" w:pos="567"/>
          <w:tab w:val="num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7.2.1. предоставление пользователям официальной статистической информации по приоритетным направлениям статистики предприятий, включая краткосрочные индикаторы по добывающим, обрабатывающим производствам, </w:t>
      </w:r>
      <w:r w:rsidRPr="00132C3C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 xml:space="preserve">осуществляющим обеспечение электрической энергией, газом и </w:t>
      </w:r>
      <w:r w:rsidRPr="00132C3C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lastRenderedPageBreak/>
        <w:t>паром, кондиционирование воздуха, водоснабжение, водоотведение, организацию сбора и утилизации отходов, деятельность по ликвидации загрязнений, лесозаготовок и рыболовства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затратам на производство и продажу товаров, работ, услуг, использованию производственных мощностей, показателям деятельности субъектов малого и среднего предпринимательства, деловой</w:t>
      </w:r>
      <w:proofErr w:type="gramEnd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активности организаций, демографии предприятий, потреблению топливно-энергетических ресурсов, разработанной на основе официальной статистической методологии в соответствии с федеральным планом статистических работ;</w:t>
      </w:r>
    </w:p>
    <w:p w:rsidR="00132C3C" w:rsidRPr="00132C3C" w:rsidRDefault="00132C3C" w:rsidP="00132C3C">
      <w:pPr>
        <w:tabs>
          <w:tab w:val="num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7.2.2. подготовка официальной статистической информации для размещения на официальном сайте Воронежстата в информационно-телекоммуникационной сети «Интернет»;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7.2.3. </w:t>
      </w:r>
      <w:proofErr w:type="gram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32C3C">
        <w:rPr>
          <w:rFonts w:ascii="Times New Roman" w:eastAsia="Calibri" w:hAnsi="Times New Roman" w:cs="Times New Roman"/>
          <w:sz w:val="28"/>
          <w:szCs w:val="28"/>
        </w:rPr>
        <w:t>онтроль за</w:t>
      </w:r>
      <w:proofErr w:type="gramEnd"/>
      <w:r w:rsidRPr="00132C3C">
        <w:rPr>
          <w:rFonts w:ascii="Times New Roman" w:eastAsia="Calibri" w:hAnsi="Times New Roman" w:cs="Times New Roman"/>
          <w:sz w:val="28"/>
          <w:szCs w:val="28"/>
        </w:rPr>
        <w:t xml:space="preserve"> полнотой и достоверностью данных, 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компетенции Отдела, </w:t>
      </w:r>
      <w:r w:rsidRPr="00132C3C">
        <w:rPr>
          <w:rFonts w:ascii="Times New Roman" w:eastAsia="Calibri" w:hAnsi="Times New Roman" w:cs="Times New Roman"/>
          <w:sz w:val="28"/>
          <w:szCs w:val="28"/>
        </w:rPr>
        <w:t xml:space="preserve">опубликованных в 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официальных изданиях Воронежстата, средствах массовой информации, а также размещенных для всеобщего доступа в информационно-телекоммуникационных сетях</w:t>
      </w:r>
      <w:r w:rsidRPr="00132C3C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7.2.4.</w:t>
      </w:r>
      <w:r w:rsidRPr="00132C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32C3C">
        <w:rPr>
          <w:rFonts w:ascii="Times New Roman" w:eastAsia="Calibri" w:hAnsi="Times New Roman" w:cs="Times New Roman"/>
          <w:sz w:val="28"/>
          <w:szCs w:val="28"/>
        </w:rPr>
        <w:t>одготовка статистических материалов для включения в официальные доклады о социально-экономическом положении Воронежской области, официальные статистические публикации, другие экономико-статистические материалы и информационно-статистические издания;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7.2.5.</w:t>
      </w:r>
      <w:r w:rsidRPr="00132C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выпуск информационно-статистических и аналитических материалов (сборников, бюллетеней, записок, регламентных таблиц).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7.3. В части о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рганизаци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проведения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сплошного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федерального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статистического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наблюдения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за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деятельностью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субъектов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малого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среднего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предпринимательства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7.3.1. о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рганизация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работ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подготовке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проведению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сплошного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федерального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статистического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наблюдения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деятельностью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районах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области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взаимодействие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органами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исполнительной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власти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области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органами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местного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самоуправления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вопросам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сплошного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федерального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статистического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наблюдения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деятельностью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7.3.2. п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одготовка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публикация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детализированных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итогов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сплошного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федерального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статистического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наблюдения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деятельностью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субъектов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7.4. </w:t>
      </w:r>
      <w:proofErr w:type="gramStart"/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части  ведения и использования территориального раздела </w:t>
      </w:r>
      <w:proofErr w:type="spellStart"/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Статрегистра</w:t>
      </w:r>
      <w:proofErr w:type="spellEnd"/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Росстата средствами единого централизованного информационного ресурса  Автоматизированной системы ведения генеральной совокупности объектов федерального статистического наблюдения (АС ГС ОФСН)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 xml:space="preserve"> для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организации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федерального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статистического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наблюдения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взаимодействия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государственными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информационными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системами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содержащими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сведения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о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хозяйствующих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субъектах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в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соответствии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с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действующими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нормативными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правовыми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актами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методическими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указаниями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2C3C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Росстата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proofErr w:type="gramEnd"/>
    </w:p>
    <w:p w:rsidR="00132C3C" w:rsidRPr="00132C3C" w:rsidRDefault="00132C3C" w:rsidP="00132C3C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7.4.1. администрирование АС ГС ОФСН в части использования территориального раздела;</w:t>
      </w:r>
    </w:p>
    <w:p w:rsidR="00132C3C" w:rsidRPr="00132C3C" w:rsidRDefault="00132C3C" w:rsidP="00132C3C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7.4.2. обеспечение учета и идентификации в территориальном разделе </w:t>
      </w:r>
      <w:proofErr w:type="spellStart"/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Статрегистра</w:t>
      </w:r>
      <w:proofErr w:type="spellEnd"/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Росстата филиалов и территориально-обособленных структурных подразделений хозяйствующих субъектов, 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которых не поступает в рамках информационного взаимодействия с регистрирующими органами;</w:t>
      </w:r>
    </w:p>
    <w:p w:rsidR="00132C3C" w:rsidRPr="00132C3C" w:rsidRDefault="00132C3C" w:rsidP="00132C3C">
      <w:pPr>
        <w:tabs>
          <w:tab w:val="left" w:pos="6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7.4.3. обеспечение качества информации, содержащейся в территориальном разделе </w:t>
      </w:r>
      <w:proofErr w:type="spell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Статрегистра</w:t>
      </w:r>
      <w:proofErr w:type="spellEnd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Росстата;</w:t>
      </w:r>
    </w:p>
    <w:p w:rsidR="00132C3C" w:rsidRPr="00132C3C" w:rsidRDefault="00132C3C" w:rsidP="00132C3C">
      <w:pPr>
        <w:tabs>
          <w:tab w:val="left" w:pos="6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7.4.4. формирование и загрузка данных, полученных из административных источников на региональном уровне: признака госсектора, признака наличия лицензий; кодов служебных признаков, иных сведений для актуализации АС ГС ОФСН;</w:t>
      </w:r>
    </w:p>
    <w:p w:rsidR="00132C3C" w:rsidRPr="00132C3C" w:rsidRDefault="00132C3C" w:rsidP="00132C3C">
      <w:pPr>
        <w:tabs>
          <w:tab w:val="left" w:pos="6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7.4.5. уточнение дополнительных признаков единиц статистического наблюдения и служебных реквизитов, используемых органами государственной статистики для статистических разработок;</w:t>
      </w:r>
    </w:p>
    <w:p w:rsidR="00132C3C" w:rsidRPr="00132C3C" w:rsidRDefault="00132C3C" w:rsidP="00132C3C">
      <w:pPr>
        <w:tabs>
          <w:tab w:val="left" w:pos="6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7.4.6. загрузка экономических показателей, полученных по данным федеральных статистических наблюдений.</w:t>
      </w:r>
    </w:p>
    <w:p w:rsidR="00132C3C" w:rsidRPr="00132C3C" w:rsidRDefault="00132C3C" w:rsidP="00132C3C">
      <w:pPr>
        <w:tabs>
          <w:tab w:val="left" w:pos="567"/>
          <w:tab w:val="left" w:pos="6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7.4.7. обеспечение полноты и достоверности учета и идентификации субъектов хозяйственной деятельности области на единой методологической основе с использованием общероссийских классификаторов технико-экономической и социальной информации (</w:t>
      </w:r>
      <w:proofErr w:type="gram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ТЭИ);</w:t>
      </w:r>
    </w:p>
    <w:p w:rsidR="00132C3C" w:rsidRPr="00132C3C" w:rsidRDefault="00132C3C" w:rsidP="00132C3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7.4.8. в</w:t>
      </w:r>
      <w:r w:rsidRPr="00132C3C">
        <w:rPr>
          <w:rFonts w:ascii="Times New Roman" w:eastAsia="MS Mincho" w:hAnsi="Times New Roman" w:cs="Times New Roman"/>
          <w:sz w:val="28"/>
          <w:szCs w:val="28"/>
          <w:lang w:eastAsia="ru-RU"/>
        </w:rPr>
        <w:t>едение территориальных разделов общероссийских классификаторов ОКАТО и ОКТМО;</w:t>
      </w:r>
    </w:p>
    <w:p w:rsidR="00132C3C" w:rsidRPr="00132C3C" w:rsidRDefault="00132C3C" w:rsidP="00132C3C">
      <w:pPr>
        <w:tabs>
          <w:tab w:val="left" w:pos="567"/>
          <w:tab w:val="left" w:pos="6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7.4.9. предоставление пользователям информации из территориального раздела </w:t>
      </w:r>
      <w:proofErr w:type="spellStart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Статрегистра</w:t>
      </w:r>
      <w:proofErr w:type="spellEnd"/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Росстата</w:t>
      </w: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32C3C" w:rsidRPr="00132C3C" w:rsidRDefault="00132C3C" w:rsidP="00132C3C">
      <w:pPr>
        <w:tabs>
          <w:tab w:val="left" w:pos="6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7.4.10. предоставление рекомендаций хозяйствующим субъектам по определению кода по </w:t>
      </w:r>
      <w:r w:rsidRPr="00132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Общероссийскому классификатору видов экономической деятельности (</w:t>
      </w: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ОКВЭД);</w:t>
      </w:r>
    </w:p>
    <w:p w:rsidR="00132C3C" w:rsidRPr="00132C3C" w:rsidRDefault="00132C3C" w:rsidP="00132C3C">
      <w:pPr>
        <w:tabs>
          <w:tab w:val="left" w:pos="567"/>
          <w:tab w:val="left" w:pos="63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7.4.11. выпуск информационных материалов на основе территориального раздела </w:t>
      </w:r>
      <w:proofErr w:type="spellStart"/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Статрегистра</w:t>
      </w:r>
      <w:proofErr w:type="spellEnd"/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Росстата для статистических сборников и публикаций.</w:t>
      </w:r>
    </w:p>
    <w:p w:rsidR="00132C3C" w:rsidRPr="00132C3C" w:rsidRDefault="00132C3C" w:rsidP="00132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7.5. В части организации работы по выполнению в Отделе требований федеральных законов, </w:t>
      </w:r>
      <w:r w:rsidRPr="0013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актов Президента Российской Федерации, Правительства Российской Федерации, актов Минэкономразвития России, приказов Росстата, Воронежстата и иных нормативных правовых актов по вопросам, связанным с повседневной деятельностью</w:t>
      </w:r>
      <w:r w:rsidRPr="00132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Отдела: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7.5.1. обеспечение реализации положений Федерального закона от 27 июля 2004 г. № 79-ФЗ «О государственной гражданской службе Российской Федерации»;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7.5.2. организация и контроль соблюдения Служебного распорядка Росстата, Правил внутреннего трудового распорядка Воронежстата, Кодекса этики;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7.5.3. о</w:t>
      </w: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предоставления гражданскими служащими Отдела сведений о доходах, расходах, об имуществе и обязательствах имущественного характера в соответствии с утвержденным Перечнем должностей, при замещении которых государственные гражданские служащие обязаны представлять сведения о доходах, расходах, об имуществе и обязательствах имущественного характера;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7.5.4. об</w:t>
      </w: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еспечение исполнения гражданскими служащими Отдела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7.5.5. п</w:t>
      </w: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рофилактика коррупционных проявлений, обеспечение соблюдения гражданскими служащими Отдела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службе, и урегулирования конфликта интересов на государственной гражданской службе;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7.5.6. о</w:t>
      </w: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предоставления гражданскими служащими Отдела сведений об адресах сайтов и (или) страниц сайтов в сети Интернет, на которых гражданские служащие размещали общедоступную информацию, а также данных, позволяющих их идентифицировать;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7.5.7. с</w:t>
      </w: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истематическое проведение оценок коррупционных рисков, возникающих при реализации Воронежстатом своих функций, в пределах компетенции Отдела;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before="7" w:after="0" w:line="240" w:lineRule="auto"/>
        <w:ind w:right="22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7.5.8. м</w:t>
      </w: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ониторинг и выявление коррупционных рисков, в том числе причин и условий коррупции, в деятельности Отдела по осуществлению закупок и устранение выявленных коррупционных рисков в пределах компетенции Отдела;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7.5.9. мониторинг и выявление коррупционных рисков, в том числе причин и условий коррупции, в деятельности комиссий по приему-передаче, списанию объектов недвижимости, хозяйственного инвентаря, автотранспортных средств, непроизводственных активов, материальных запасов, нематериальных активов, относящихся к сфере информационно-телекоммуникационных технологий в Воронежстате, в пределах компетенции Отдела;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7.5.10. планирование профессионального развития и профессиональной переподготовки федеральных государственных гражданских служащих Отдела;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7.5.11. рассмотрение запросов граждан и организаций по вопросам, относящимся к компетенции Отдела и подготовка проектов ответов на них;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7.5.12. соблюдение установленного в Воронежстате режима хранения и защиты конфиденциальной информации от несанкционированного доступа, хищения, утраты, подделки или искажения;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7.5.13. обеспечение защиты и сохранности сведений, составляющих государственную тайну;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before="7" w:after="0" w:line="240" w:lineRule="auto"/>
        <w:ind w:right="1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7.5.14. соблюдение установленного в Воронежстате режима секретности;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7.5.15. подготовка предложений о допуске работников Отдела к государственной тайне и обоснований необходимости их допуска к государственной тайне;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7.5.16. участие в разработке мобилизационных документов Отдела и поддержание их в актуальном состоянии;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7.5.17. участие Отдела в мероприятиях мобилизационной подготовки Воронежстата;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righ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7.5.18. участие Отдела в выполнении мобилизационных мероприятий Воронежстата  при нарастании угрозы агрессии против Российской Федерации, в период мобилизации, в период действия военного положения и в военное время;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7.5.19. участие Отдела в организации и проведении мероприятий гражданской обороны в соответствии с Планом гражданской обороны Воронежстата;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7.5.20. обеспечение в пределах установленных полномочий надлежащих организационно-технических условий, необходимых для исполнения должностных обязанностей работников Отдела, сохранности основных средств и имущества, закрепленного за Отделом;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7.5.21. обеспечение в пределах установленных полномочий соблюдения техники безопасности;</w:t>
      </w:r>
    </w:p>
    <w:p w:rsidR="00132C3C" w:rsidRPr="00132C3C" w:rsidRDefault="00132C3C" w:rsidP="00132C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7.5.22. обеспечение ведения делопроизводства в Отделе в соответствии с Правилами делопроизводства в государственных органах, органах местного самоуправления, утвержденными приказом Росархива от 22 мая 2019 г. № 71, в том числе с применением Системы электронного документооборота Росстата;</w:t>
      </w:r>
    </w:p>
    <w:p w:rsidR="00132C3C" w:rsidRPr="00132C3C" w:rsidRDefault="00132C3C" w:rsidP="00132C3C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7.5.23. осуществление в соответствии с законодательством Российской Федерации работы по комплектованию архива Воронежстата архивными документами, образующимися в процессе деятельности Отдела;</w:t>
      </w:r>
    </w:p>
    <w:p w:rsidR="00132C3C" w:rsidRPr="00132C3C" w:rsidRDefault="00132C3C" w:rsidP="00132C3C">
      <w:pPr>
        <w:shd w:val="clear" w:color="auto" w:fill="FFFFFF"/>
        <w:tabs>
          <w:tab w:val="left" w:pos="1603"/>
        </w:tabs>
        <w:autoSpaceDE w:val="0"/>
        <w:autoSpaceDN w:val="0"/>
        <w:adjustRightInd w:val="0"/>
        <w:spacing w:after="0" w:line="240" w:lineRule="auto"/>
        <w:ind w:firstLine="7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7.5.24. подготовка проектов распорядительных документов по направлению деятельности Отдела;</w:t>
      </w:r>
    </w:p>
    <w:p w:rsidR="00132C3C" w:rsidRPr="00132C3C" w:rsidRDefault="00132C3C" w:rsidP="00132C3C">
      <w:pPr>
        <w:shd w:val="clear" w:color="auto" w:fill="FFFFFF"/>
        <w:tabs>
          <w:tab w:val="left" w:pos="1584"/>
        </w:tabs>
        <w:autoSpaceDE w:val="0"/>
        <w:autoSpaceDN w:val="0"/>
        <w:adjustRightInd w:val="0"/>
        <w:spacing w:after="0" w:line="240" w:lineRule="auto"/>
        <w:ind w:firstLine="7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7.5.25. ведение дел по административным правонарушениям.</w:t>
      </w:r>
    </w:p>
    <w:p w:rsidR="006C77D1" w:rsidRDefault="006C77D1"/>
    <w:sectPr w:rsidR="006C7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4CD"/>
    <w:multiLevelType w:val="hybridMultilevel"/>
    <w:tmpl w:val="EFF426D2"/>
    <w:lvl w:ilvl="0" w:tplc="9018506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A6E509B"/>
    <w:multiLevelType w:val="multilevel"/>
    <w:tmpl w:val="965842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B9F73D6"/>
    <w:multiLevelType w:val="multilevel"/>
    <w:tmpl w:val="B5726E3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C0A0673"/>
    <w:multiLevelType w:val="hybridMultilevel"/>
    <w:tmpl w:val="E4507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E62702"/>
    <w:multiLevelType w:val="hybridMultilevel"/>
    <w:tmpl w:val="65804D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DE44E50"/>
    <w:multiLevelType w:val="multilevel"/>
    <w:tmpl w:val="6A48B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FC41682"/>
    <w:multiLevelType w:val="hybridMultilevel"/>
    <w:tmpl w:val="E8DCD816"/>
    <w:lvl w:ilvl="0" w:tplc="96A6FA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1A7420"/>
    <w:multiLevelType w:val="hybridMultilevel"/>
    <w:tmpl w:val="99C81E64"/>
    <w:lvl w:ilvl="0" w:tplc="B802CD7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4F94304B"/>
    <w:multiLevelType w:val="hybridMultilevel"/>
    <w:tmpl w:val="F4D8A8B0"/>
    <w:lvl w:ilvl="0" w:tplc="89B44A90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481FEE"/>
    <w:multiLevelType w:val="multilevel"/>
    <w:tmpl w:val="5E50AB5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6D5404C7"/>
    <w:multiLevelType w:val="hybridMultilevel"/>
    <w:tmpl w:val="DB3E6762"/>
    <w:lvl w:ilvl="0" w:tplc="89B44A90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1">
    <w:nsid w:val="736C5160"/>
    <w:multiLevelType w:val="hybridMultilevel"/>
    <w:tmpl w:val="0F3840A6"/>
    <w:lvl w:ilvl="0" w:tplc="B802CD7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>
    <w:nsid w:val="79ED56C0"/>
    <w:multiLevelType w:val="hybridMultilevel"/>
    <w:tmpl w:val="829AB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0"/>
  </w:num>
  <w:num w:numId="9">
    <w:abstractNumId w:val="8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AFA"/>
    <w:rsid w:val="00132C3C"/>
    <w:rsid w:val="003B7AFA"/>
    <w:rsid w:val="006C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2C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32C3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32C3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C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2C3C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32C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132C3C"/>
  </w:style>
  <w:style w:type="paragraph" w:styleId="a3">
    <w:name w:val="header"/>
    <w:basedOn w:val="a"/>
    <w:link w:val="a4"/>
    <w:uiPriority w:val="99"/>
    <w:rsid w:val="00132C3C"/>
    <w:pPr>
      <w:tabs>
        <w:tab w:val="center" w:pos="4536"/>
        <w:tab w:val="right" w:pos="9072"/>
      </w:tabs>
      <w:spacing w:after="0" w:line="240" w:lineRule="auto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32C3C"/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styleId="a5">
    <w:name w:val="page number"/>
    <w:basedOn w:val="a0"/>
    <w:rsid w:val="00132C3C"/>
  </w:style>
  <w:style w:type="paragraph" w:styleId="a6">
    <w:name w:val="Body Text"/>
    <w:basedOn w:val="a"/>
    <w:link w:val="a7"/>
    <w:rsid w:val="00132C3C"/>
    <w:pPr>
      <w:spacing w:after="0" w:line="240" w:lineRule="auto"/>
      <w:ind w:right="-1"/>
      <w:jc w:val="both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32C3C"/>
    <w:rPr>
      <w:rFonts w:ascii="NTTimes/Cyrillic" w:eastAsia="Times New Roman" w:hAnsi="NTTimes/Cyrillic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32C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32C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132C3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32C3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BodyText2">
    <w:name w:val="Body Text 2"/>
    <w:basedOn w:val="a"/>
    <w:rsid w:val="00132C3C"/>
    <w:pPr>
      <w:overflowPunct w:val="0"/>
      <w:autoSpaceDE w:val="0"/>
      <w:autoSpaceDN w:val="0"/>
      <w:adjustRightInd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132C3C"/>
    <w:pPr>
      <w:tabs>
        <w:tab w:val="left" w:pos="851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132C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rsid w:val="00132C3C"/>
    <w:pPr>
      <w:tabs>
        <w:tab w:val="center" w:pos="4677"/>
        <w:tab w:val="right" w:pos="9355"/>
      </w:tabs>
      <w:spacing w:after="0" w:line="240" w:lineRule="auto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132C3C"/>
    <w:rPr>
      <w:rFonts w:ascii="NTTimes/Cyrillic" w:eastAsia="Times New Roman" w:hAnsi="NTTimes/Cyrillic" w:cs="Times New Roman"/>
      <w:sz w:val="28"/>
      <w:szCs w:val="20"/>
      <w:lang w:eastAsia="ru-RU"/>
    </w:rPr>
  </w:style>
  <w:style w:type="paragraph" w:styleId="ac">
    <w:name w:val="Title"/>
    <w:basedOn w:val="a"/>
    <w:link w:val="ad"/>
    <w:qFormat/>
    <w:rsid w:val="00132C3C"/>
    <w:pPr>
      <w:spacing w:before="120" w:after="0" w:line="240" w:lineRule="auto"/>
      <w:ind w:right="680"/>
      <w:jc w:val="center"/>
    </w:pPr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132C3C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32C3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32C3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">
    <w:name w:val="Normal"/>
    <w:rsid w:val="00132C3C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132C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132C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4">
    <w:name w:val="Font Style54"/>
    <w:rsid w:val="00132C3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132C3C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15">
    <w:name w:val="Font Style15"/>
    <w:uiPriority w:val="99"/>
    <w:rsid w:val="00132C3C"/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2C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32C3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32C3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C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2C3C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32C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132C3C"/>
  </w:style>
  <w:style w:type="paragraph" w:styleId="a3">
    <w:name w:val="header"/>
    <w:basedOn w:val="a"/>
    <w:link w:val="a4"/>
    <w:uiPriority w:val="99"/>
    <w:rsid w:val="00132C3C"/>
    <w:pPr>
      <w:tabs>
        <w:tab w:val="center" w:pos="4536"/>
        <w:tab w:val="right" w:pos="9072"/>
      </w:tabs>
      <w:spacing w:after="0" w:line="240" w:lineRule="auto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32C3C"/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styleId="a5">
    <w:name w:val="page number"/>
    <w:basedOn w:val="a0"/>
    <w:rsid w:val="00132C3C"/>
  </w:style>
  <w:style w:type="paragraph" w:styleId="a6">
    <w:name w:val="Body Text"/>
    <w:basedOn w:val="a"/>
    <w:link w:val="a7"/>
    <w:rsid w:val="00132C3C"/>
    <w:pPr>
      <w:spacing w:after="0" w:line="240" w:lineRule="auto"/>
      <w:ind w:right="-1"/>
      <w:jc w:val="both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32C3C"/>
    <w:rPr>
      <w:rFonts w:ascii="NTTimes/Cyrillic" w:eastAsia="Times New Roman" w:hAnsi="NTTimes/Cyrillic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32C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32C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132C3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32C3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BodyText2">
    <w:name w:val="Body Text 2"/>
    <w:basedOn w:val="a"/>
    <w:rsid w:val="00132C3C"/>
    <w:pPr>
      <w:overflowPunct w:val="0"/>
      <w:autoSpaceDE w:val="0"/>
      <w:autoSpaceDN w:val="0"/>
      <w:adjustRightInd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132C3C"/>
    <w:pPr>
      <w:tabs>
        <w:tab w:val="left" w:pos="851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132C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rsid w:val="00132C3C"/>
    <w:pPr>
      <w:tabs>
        <w:tab w:val="center" w:pos="4677"/>
        <w:tab w:val="right" w:pos="9355"/>
      </w:tabs>
      <w:spacing w:after="0" w:line="240" w:lineRule="auto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132C3C"/>
    <w:rPr>
      <w:rFonts w:ascii="NTTimes/Cyrillic" w:eastAsia="Times New Roman" w:hAnsi="NTTimes/Cyrillic" w:cs="Times New Roman"/>
      <w:sz w:val="28"/>
      <w:szCs w:val="20"/>
      <w:lang w:eastAsia="ru-RU"/>
    </w:rPr>
  </w:style>
  <w:style w:type="paragraph" w:styleId="ac">
    <w:name w:val="Title"/>
    <w:basedOn w:val="a"/>
    <w:link w:val="ad"/>
    <w:qFormat/>
    <w:rsid w:val="00132C3C"/>
    <w:pPr>
      <w:spacing w:before="120" w:after="0" w:line="240" w:lineRule="auto"/>
      <w:ind w:right="680"/>
      <w:jc w:val="center"/>
    </w:pPr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132C3C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32C3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32C3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">
    <w:name w:val="Normal"/>
    <w:rsid w:val="00132C3C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132C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132C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4">
    <w:name w:val="Font Style54"/>
    <w:rsid w:val="00132C3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132C3C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15">
    <w:name w:val="Font Style15"/>
    <w:uiPriority w:val="99"/>
    <w:rsid w:val="00132C3C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2554</Words>
  <Characters>14564</Characters>
  <Application>Microsoft Office Word</Application>
  <DocSecurity>0</DocSecurity>
  <Lines>121</Lines>
  <Paragraphs>34</Paragraphs>
  <ScaleCrop>false</ScaleCrop>
  <Company>Voronezhstat</Company>
  <LinksUpToDate>false</LinksUpToDate>
  <CharactersWithSpaces>17084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Окрушко Екатерина Николаевна</dc:creator>
  <cp:keywords/>
  <dc:description/>
  <cp:lastModifiedBy>Окрушко Екатерина Николаевна</cp:lastModifiedBy>
  <cp:revision>2</cp:revision>
  <dcterms:created xsi:type="dcterms:W3CDTF">2021-06-01T11:02:00Z</dcterms:created>
  <dcterms:modified xsi:type="dcterms:W3CDTF">2021-06-01T11:08:00Z</dcterms:modified>
</cp:coreProperties>
</file>